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Default="00C0614F" w:rsidP="00C0614F">
      <w:pPr>
        <w:jc w:val="center"/>
        <w:rPr>
          <w:rFonts w:ascii="Times New Roman" w:hAnsi="Times New Roman" w:cs="Times New Roman"/>
          <w:sz w:val="24"/>
          <w:szCs w:val="24"/>
        </w:rPr>
      </w:pPr>
    </w:p>
    <w:p w:rsidR="00C0614F" w:rsidRPr="00C0614F" w:rsidRDefault="00C0614F" w:rsidP="00625EA3">
      <w:pPr>
        <w:spacing w:after="0"/>
        <w:contextualSpacing/>
        <w:jc w:val="center"/>
        <w:rPr>
          <w:rFonts w:ascii="Times New Roman" w:hAnsi="Times New Roman" w:cs="Times New Roman"/>
          <w:sz w:val="24"/>
          <w:szCs w:val="24"/>
        </w:rPr>
      </w:pPr>
      <w:r w:rsidRPr="00C0614F">
        <w:rPr>
          <w:rFonts w:ascii="Times New Roman" w:hAnsi="Times New Roman" w:cs="Times New Roman"/>
          <w:sz w:val="24"/>
          <w:szCs w:val="24"/>
        </w:rPr>
        <w:t>The Supreme Court Case ruling in Maryland v. Buie, 494 U.S. 325</w:t>
      </w:r>
    </w:p>
    <w:p w:rsidR="00C0614F" w:rsidRPr="00C0614F" w:rsidRDefault="00C0614F" w:rsidP="00625EA3">
      <w:pPr>
        <w:spacing w:after="0"/>
        <w:contextualSpacing/>
        <w:jc w:val="center"/>
        <w:rPr>
          <w:rFonts w:ascii="Times New Roman" w:hAnsi="Times New Roman" w:cs="Times New Roman"/>
          <w:sz w:val="24"/>
          <w:szCs w:val="24"/>
        </w:rPr>
      </w:pPr>
      <w:r w:rsidRPr="00C0614F">
        <w:rPr>
          <w:rFonts w:ascii="Times New Roman" w:hAnsi="Times New Roman" w:cs="Times New Roman"/>
          <w:sz w:val="24"/>
          <w:szCs w:val="24"/>
        </w:rPr>
        <w:t>Name</w:t>
      </w:r>
    </w:p>
    <w:p w:rsidR="00C0614F" w:rsidRDefault="00C0614F" w:rsidP="00625EA3">
      <w:pPr>
        <w:spacing w:after="0"/>
        <w:contextualSpacing/>
        <w:jc w:val="center"/>
        <w:rPr>
          <w:rFonts w:ascii="Times New Roman" w:hAnsi="Times New Roman" w:cs="Times New Roman"/>
          <w:b/>
          <w:sz w:val="24"/>
          <w:szCs w:val="24"/>
        </w:rPr>
      </w:pPr>
      <w:r w:rsidRPr="00C0614F">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284019" w:rsidRPr="00891758" w:rsidRDefault="00891758" w:rsidP="00891758">
      <w:pPr>
        <w:jc w:val="center"/>
        <w:rPr>
          <w:rFonts w:ascii="Times New Roman" w:hAnsi="Times New Roman" w:cs="Times New Roman"/>
          <w:b/>
          <w:sz w:val="24"/>
          <w:szCs w:val="24"/>
        </w:rPr>
      </w:pPr>
      <w:r w:rsidRPr="00891758">
        <w:rPr>
          <w:rFonts w:ascii="Times New Roman" w:hAnsi="Times New Roman" w:cs="Times New Roman"/>
          <w:b/>
          <w:sz w:val="24"/>
          <w:szCs w:val="24"/>
        </w:rPr>
        <w:lastRenderedPageBreak/>
        <w:t>T</w:t>
      </w:r>
      <w:r>
        <w:rPr>
          <w:rFonts w:ascii="Times New Roman" w:hAnsi="Times New Roman" w:cs="Times New Roman"/>
          <w:b/>
          <w:sz w:val="24"/>
          <w:szCs w:val="24"/>
        </w:rPr>
        <w:t>he Supreme Court C</w:t>
      </w:r>
      <w:r w:rsidR="00C929F9" w:rsidRPr="00891758">
        <w:rPr>
          <w:rFonts w:ascii="Times New Roman" w:hAnsi="Times New Roman" w:cs="Times New Roman"/>
          <w:b/>
          <w:sz w:val="24"/>
          <w:szCs w:val="24"/>
        </w:rPr>
        <w:t>ase ruling in Maryland v. Buie, 494 U.S. 325</w:t>
      </w:r>
    </w:p>
    <w:p w:rsidR="00C06747" w:rsidRDefault="00C06747" w:rsidP="00C0614F">
      <w:pPr>
        <w:ind w:firstLine="720"/>
        <w:rPr>
          <w:rFonts w:ascii="Times New Roman" w:hAnsi="Times New Roman" w:cs="Times New Roman"/>
          <w:sz w:val="24"/>
          <w:szCs w:val="24"/>
        </w:rPr>
      </w:pPr>
      <w:r>
        <w:rPr>
          <w:rFonts w:ascii="Times New Roman" w:hAnsi="Times New Roman" w:cs="Times New Roman"/>
          <w:sz w:val="24"/>
          <w:szCs w:val="24"/>
        </w:rPr>
        <w:t xml:space="preserve">On February 3, 1986, two men robbed a Godfather’s Pizza in Prince George’s County, Maryland. One of them had a red running suit. The same day, the police obtained arrest </w:t>
      </w:r>
      <w:r w:rsidR="00BE558A">
        <w:rPr>
          <w:rFonts w:ascii="Times New Roman" w:hAnsi="Times New Roman" w:cs="Times New Roman"/>
          <w:sz w:val="24"/>
          <w:szCs w:val="24"/>
        </w:rPr>
        <w:t>warrants for</w:t>
      </w:r>
      <w:r>
        <w:rPr>
          <w:rFonts w:ascii="Times New Roman" w:hAnsi="Times New Roman" w:cs="Times New Roman"/>
          <w:sz w:val="24"/>
          <w:szCs w:val="24"/>
        </w:rPr>
        <w:t xml:space="preserve"> Lloyd Allen and Jerome Edward Buie and put </w:t>
      </w:r>
      <w:r w:rsidR="00BE558A">
        <w:rPr>
          <w:rFonts w:ascii="Times New Roman" w:hAnsi="Times New Roman" w:cs="Times New Roman"/>
          <w:sz w:val="24"/>
          <w:szCs w:val="24"/>
        </w:rPr>
        <w:t>Buie’s house under surveillance.</w:t>
      </w:r>
      <w:r w:rsidR="007053F9">
        <w:rPr>
          <w:rFonts w:ascii="Times New Roman" w:hAnsi="Times New Roman" w:cs="Times New Roman"/>
          <w:sz w:val="24"/>
          <w:szCs w:val="24"/>
        </w:rPr>
        <w:t xml:space="preserve"> On the 5</w:t>
      </w:r>
      <w:r w:rsidR="007053F9" w:rsidRPr="007053F9">
        <w:rPr>
          <w:rFonts w:ascii="Times New Roman" w:hAnsi="Times New Roman" w:cs="Times New Roman"/>
          <w:sz w:val="24"/>
          <w:szCs w:val="24"/>
          <w:vertAlign w:val="superscript"/>
        </w:rPr>
        <w:t>th</w:t>
      </w:r>
      <w:r w:rsidR="007053F9">
        <w:rPr>
          <w:rFonts w:ascii="Times New Roman" w:hAnsi="Times New Roman" w:cs="Times New Roman"/>
          <w:sz w:val="24"/>
          <w:szCs w:val="24"/>
        </w:rPr>
        <w:t xml:space="preserve"> of that month, the police arrested Buie in his house. They found him hiding in the basement of his house. Once he was handcuffed, one of the officers went down into the basement to ensure there was no one else there and he saw a red running suit in plain view and seized as part of the evidence.</w:t>
      </w:r>
      <w:r w:rsidR="00C910BA">
        <w:rPr>
          <w:rFonts w:ascii="Times New Roman" w:hAnsi="Times New Roman" w:cs="Times New Roman"/>
          <w:sz w:val="24"/>
          <w:szCs w:val="24"/>
        </w:rPr>
        <w:t xml:space="preserve"> The court denied Buie’s motion to have the running suit evidence suppressed and convicted him. The Maryland Court of Special Appeals acknowledged the trial court’s denial of the motion.</w:t>
      </w:r>
      <w:r w:rsidR="00004CA5">
        <w:rPr>
          <w:rFonts w:ascii="Times New Roman" w:hAnsi="Times New Roman" w:cs="Times New Roman"/>
          <w:sz w:val="24"/>
          <w:szCs w:val="24"/>
        </w:rPr>
        <w:t xml:space="preserve"> However, the Maryland Court of Appeal reversed the ruling.</w:t>
      </w:r>
    </w:p>
    <w:p w:rsidR="007231CB" w:rsidRDefault="007231CB" w:rsidP="00C0614F">
      <w:pPr>
        <w:ind w:firstLine="720"/>
        <w:rPr>
          <w:rFonts w:ascii="Times New Roman" w:hAnsi="Times New Roman" w:cs="Times New Roman"/>
          <w:sz w:val="24"/>
          <w:szCs w:val="24"/>
        </w:rPr>
      </w:pPr>
      <w:r>
        <w:rPr>
          <w:rFonts w:ascii="Times New Roman" w:hAnsi="Times New Roman" w:cs="Times New Roman"/>
          <w:sz w:val="24"/>
          <w:szCs w:val="24"/>
        </w:rPr>
        <w:t xml:space="preserve">So the question was, does the Fourth Amendment prevent the police from making a “protective sweep” at the site </w:t>
      </w:r>
      <w:r w:rsidR="00216256">
        <w:rPr>
          <w:rFonts w:ascii="Times New Roman" w:hAnsi="Times New Roman" w:cs="Times New Roman"/>
          <w:sz w:val="24"/>
          <w:szCs w:val="24"/>
        </w:rPr>
        <w:t>of an in-home arrest if there is no danger posed to them or to others around?</w:t>
      </w:r>
      <w:r w:rsidR="00F707B7">
        <w:rPr>
          <w:rFonts w:ascii="Times New Roman" w:hAnsi="Times New Roman" w:cs="Times New Roman"/>
          <w:sz w:val="24"/>
          <w:szCs w:val="24"/>
        </w:rPr>
        <w:t xml:space="preserve"> Justice Bryon R. White of the Court of Special Appeals delivered a ruling rejecting the motion. Potential risks for officers and other persons at the site of arrest must be assessed. In this case, the arrest took place in the suspect’s home</w:t>
      </w:r>
      <w:r w:rsidR="00664BE4">
        <w:rPr>
          <w:rFonts w:ascii="Times New Roman" w:hAnsi="Times New Roman" w:cs="Times New Roman"/>
          <w:sz w:val="24"/>
          <w:szCs w:val="24"/>
        </w:rPr>
        <w:t xml:space="preserve"> heightening the officers’ risk of a possible ambush.</w:t>
      </w:r>
      <w:r w:rsidR="00940633">
        <w:rPr>
          <w:rFonts w:ascii="Times New Roman" w:hAnsi="Times New Roman" w:cs="Times New Roman"/>
          <w:sz w:val="24"/>
          <w:szCs w:val="24"/>
        </w:rPr>
        <w:t xml:space="preserve"> The risk thus justified the protective sweep. In the reversion of the ruling by the Court of Appeal, Justice William J. Brenna, Jr. dissented the Court of Special Appeals ruling by arguing that the protective sweep demonstrated the intrusive unwarranted such that the Fourth Amendment sought to prevent.</w:t>
      </w:r>
    </w:p>
    <w:p w:rsidR="00C929F9" w:rsidRDefault="00C929F9">
      <w:pPr>
        <w:rPr>
          <w:rFonts w:ascii="Times New Roman" w:eastAsia="Times New Roman" w:hAnsi="Times New Roman" w:cs="Times New Roman"/>
          <w:sz w:val="24"/>
          <w:szCs w:val="24"/>
        </w:rPr>
      </w:pPr>
      <w:r>
        <w:br w:type="page"/>
      </w:r>
    </w:p>
    <w:p w:rsidR="00C929F9" w:rsidRDefault="00C929F9" w:rsidP="00625EA3">
      <w:pPr>
        <w:pStyle w:val="NormalWeb"/>
        <w:spacing w:before="0" w:beforeAutospacing="0" w:after="0" w:afterAutospacing="0" w:line="480" w:lineRule="auto"/>
        <w:contextualSpacing/>
        <w:jc w:val="center"/>
      </w:pPr>
      <w:r>
        <w:lastRenderedPageBreak/>
        <w:t>References</w:t>
      </w:r>
    </w:p>
    <w:p w:rsidR="00C929F9" w:rsidRDefault="00C929F9" w:rsidP="00625EA3">
      <w:pPr>
        <w:pStyle w:val="NormalWeb"/>
        <w:spacing w:before="0" w:beforeAutospacing="0" w:after="0" w:afterAutospacing="0" w:line="480" w:lineRule="auto"/>
        <w:ind w:left="720" w:hanging="720"/>
        <w:contextualSpacing/>
      </w:pPr>
      <w:r>
        <w:t xml:space="preserve">Maryland v. Buie. (n.d.). </w:t>
      </w:r>
      <w:r>
        <w:rPr>
          <w:i/>
          <w:iCs/>
        </w:rPr>
        <w:t>Oyez</w:t>
      </w:r>
      <w:r>
        <w:t>. Retrieved December 2, 2018, from https://www.oyez.org/cases/1989/88-1369</w:t>
      </w:r>
      <w:bookmarkStart w:id="0" w:name="_GoBack"/>
      <w:bookmarkEnd w:id="0"/>
    </w:p>
    <w:p w:rsidR="00C929F9" w:rsidRPr="00C929F9" w:rsidRDefault="00C929F9" w:rsidP="00C929F9">
      <w:pPr>
        <w:ind w:left="720" w:hanging="720"/>
        <w:rPr>
          <w:szCs w:val="24"/>
        </w:rPr>
      </w:pPr>
    </w:p>
    <w:sectPr w:rsidR="00C929F9" w:rsidRPr="00C929F9" w:rsidSect="00BB0A4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5CA" w:rsidRDefault="009D75CA" w:rsidP="00A86427">
      <w:pPr>
        <w:spacing w:after="0" w:line="240" w:lineRule="auto"/>
      </w:pPr>
      <w:r>
        <w:separator/>
      </w:r>
    </w:p>
  </w:endnote>
  <w:endnote w:type="continuationSeparator" w:id="0">
    <w:p w:rsidR="009D75CA" w:rsidRDefault="009D75CA"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5CA" w:rsidRDefault="009D75CA" w:rsidP="00A86427">
      <w:pPr>
        <w:spacing w:after="0" w:line="240" w:lineRule="auto"/>
      </w:pPr>
      <w:r>
        <w:separator/>
      </w:r>
    </w:p>
  </w:footnote>
  <w:footnote w:type="continuationSeparator" w:id="0">
    <w:p w:rsidR="009D75CA" w:rsidRDefault="009D75CA" w:rsidP="00A86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7B7" w:rsidRPr="00A86427" w:rsidRDefault="009D75CA">
    <w:pPr>
      <w:pStyle w:val="Header"/>
      <w:jc w:val="right"/>
      <w:rPr>
        <w:rFonts w:ascii="Times New Roman" w:hAnsi="Times New Roman" w:cs="Times New Roman"/>
        <w:sz w:val="24"/>
        <w:szCs w:val="24"/>
      </w:rPr>
    </w:pPr>
    <w:sdt>
      <w:sdtPr>
        <w:rPr>
          <w:rFonts w:ascii="Times New Roman" w:hAnsi="Times New Roman" w:cs="Times New Roman"/>
          <w:sz w:val="24"/>
          <w:szCs w:val="24"/>
        </w:rPr>
        <w:id w:val="20458455"/>
        <w:docPartObj>
          <w:docPartGallery w:val="Page Numbers (Top of Page)"/>
          <w:docPartUnique/>
        </w:docPartObj>
      </w:sdtPr>
      <w:sdtEndPr/>
      <w:sdtContent>
        <w:r w:rsidR="00F707B7" w:rsidRPr="00A86427">
          <w:rPr>
            <w:rFonts w:ascii="Times New Roman" w:hAnsi="Times New Roman" w:cs="Times New Roman"/>
            <w:sz w:val="24"/>
            <w:szCs w:val="24"/>
          </w:rPr>
          <w:fldChar w:fldCharType="begin"/>
        </w:r>
        <w:r w:rsidR="00F707B7" w:rsidRPr="00A86427">
          <w:rPr>
            <w:rFonts w:ascii="Times New Roman" w:hAnsi="Times New Roman" w:cs="Times New Roman"/>
            <w:sz w:val="24"/>
            <w:szCs w:val="24"/>
          </w:rPr>
          <w:instrText xml:space="preserve"> PAGE   \* MERGEFORMAT </w:instrText>
        </w:r>
        <w:r w:rsidR="00F707B7" w:rsidRPr="00A86427">
          <w:rPr>
            <w:rFonts w:ascii="Times New Roman" w:hAnsi="Times New Roman" w:cs="Times New Roman"/>
            <w:sz w:val="24"/>
            <w:szCs w:val="24"/>
          </w:rPr>
          <w:fldChar w:fldCharType="separate"/>
        </w:r>
        <w:r w:rsidR="00625EA3">
          <w:rPr>
            <w:rFonts w:ascii="Times New Roman" w:hAnsi="Times New Roman" w:cs="Times New Roman"/>
            <w:noProof/>
            <w:sz w:val="24"/>
            <w:szCs w:val="24"/>
          </w:rPr>
          <w:t>3</w:t>
        </w:r>
        <w:r w:rsidR="00F707B7" w:rsidRPr="00A86427">
          <w:rPr>
            <w:rFonts w:ascii="Times New Roman" w:hAnsi="Times New Roman" w:cs="Times New Roman"/>
            <w:sz w:val="24"/>
            <w:szCs w:val="24"/>
          </w:rPr>
          <w:fldChar w:fldCharType="end"/>
        </w:r>
      </w:sdtContent>
    </w:sdt>
  </w:p>
  <w:p w:rsidR="00F707B7" w:rsidRPr="00A86427" w:rsidRDefault="00F707B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DCyNDY0NTGxMDayMLJQ0lEKTi0uzszPAykwrAUAb0sTBiwAAAA="/>
  </w:docVars>
  <w:rsids>
    <w:rsidRoot w:val="006A134B"/>
    <w:rsid w:val="00004CA5"/>
    <w:rsid w:val="000251E9"/>
    <w:rsid w:val="00060416"/>
    <w:rsid w:val="000B275E"/>
    <w:rsid w:val="000E5964"/>
    <w:rsid w:val="000F25FC"/>
    <w:rsid w:val="001608FE"/>
    <w:rsid w:val="00187D88"/>
    <w:rsid w:val="001B4038"/>
    <w:rsid w:val="001E51A8"/>
    <w:rsid w:val="00216256"/>
    <w:rsid w:val="002702CC"/>
    <w:rsid w:val="00284019"/>
    <w:rsid w:val="00292CDD"/>
    <w:rsid w:val="002B0992"/>
    <w:rsid w:val="0033506A"/>
    <w:rsid w:val="0034314D"/>
    <w:rsid w:val="003A7B73"/>
    <w:rsid w:val="0042638C"/>
    <w:rsid w:val="004A50DD"/>
    <w:rsid w:val="004B21D9"/>
    <w:rsid w:val="00510DB5"/>
    <w:rsid w:val="005C73E2"/>
    <w:rsid w:val="00612FAB"/>
    <w:rsid w:val="00625EA3"/>
    <w:rsid w:val="006268E9"/>
    <w:rsid w:val="00655D5B"/>
    <w:rsid w:val="00664BE4"/>
    <w:rsid w:val="006A134B"/>
    <w:rsid w:val="006B7984"/>
    <w:rsid w:val="006E7C92"/>
    <w:rsid w:val="00703D9A"/>
    <w:rsid w:val="007053F9"/>
    <w:rsid w:val="007231CB"/>
    <w:rsid w:val="00796552"/>
    <w:rsid w:val="007B6761"/>
    <w:rsid w:val="007B7962"/>
    <w:rsid w:val="007D2CF9"/>
    <w:rsid w:val="00820FE5"/>
    <w:rsid w:val="00842E9C"/>
    <w:rsid w:val="00891758"/>
    <w:rsid w:val="008E7EEB"/>
    <w:rsid w:val="008F18A4"/>
    <w:rsid w:val="00913CBC"/>
    <w:rsid w:val="00940633"/>
    <w:rsid w:val="0096172D"/>
    <w:rsid w:val="00965DA5"/>
    <w:rsid w:val="0098428E"/>
    <w:rsid w:val="00985067"/>
    <w:rsid w:val="009D75CA"/>
    <w:rsid w:val="009E1890"/>
    <w:rsid w:val="00A82CCB"/>
    <w:rsid w:val="00A86427"/>
    <w:rsid w:val="00B53206"/>
    <w:rsid w:val="00B6024C"/>
    <w:rsid w:val="00B803D0"/>
    <w:rsid w:val="00B867FD"/>
    <w:rsid w:val="00BA13D0"/>
    <w:rsid w:val="00BB0A4C"/>
    <w:rsid w:val="00BC629E"/>
    <w:rsid w:val="00BE558A"/>
    <w:rsid w:val="00C0614F"/>
    <w:rsid w:val="00C06747"/>
    <w:rsid w:val="00C14564"/>
    <w:rsid w:val="00C165BD"/>
    <w:rsid w:val="00C441F6"/>
    <w:rsid w:val="00C71F58"/>
    <w:rsid w:val="00C910BA"/>
    <w:rsid w:val="00C929F9"/>
    <w:rsid w:val="00C939CF"/>
    <w:rsid w:val="00CB5D13"/>
    <w:rsid w:val="00D02267"/>
    <w:rsid w:val="00D03D09"/>
    <w:rsid w:val="00D72A2E"/>
    <w:rsid w:val="00DA14B9"/>
    <w:rsid w:val="00DF2556"/>
    <w:rsid w:val="00E52FF1"/>
    <w:rsid w:val="00E75EC9"/>
    <w:rsid w:val="00F25470"/>
    <w:rsid w:val="00F413F7"/>
    <w:rsid w:val="00F54A03"/>
    <w:rsid w:val="00F707B7"/>
    <w:rsid w:val="00F80805"/>
    <w:rsid w:val="00FA7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semiHidden/>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semiHidden/>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64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2018-12-03T06:47:00Z</dcterms:created>
  <dcterms:modified xsi:type="dcterms:W3CDTF">2018-12-03T06:47:00Z</dcterms:modified>
</cp:coreProperties>
</file>